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832" w:rsidRDefault="00E01832">
      <w:pPr>
        <w:pStyle w:val="ConsPlusTitlePage"/>
      </w:pPr>
      <w:r>
        <w:t xml:space="preserve">Документ предоставлен </w:t>
      </w:r>
      <w:hyperlink r:id="rId4">
        <w:r>
          <w:rPr>
            <w:color w:val="0000FF"/>
          </w:rPr>
          <w:t>КонсультантПлюс</w:t>
        </w:r>
      </w:hyperlink>
      <w:r>
        <w:br/>
      </w:r>
    </w:p>
    <w:p w:rsidR="00E01832" w:rsidRDefault="00E018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1832">
        <w:tc>
          <w:tcPr>
            <w:tcW w:w="4677" w:type="dxa"/>
            <w:tcBorders>
              <w:top w:val="nil"/>
              <w:left w:val="nil"/>
              <w:bottom w:val="nil"/>
              <w:right w:val="nil"/>
            </w:tcBorders>
          </w:tcPr>
          <w:p w:rsidR="00E01832" w:rsidRDefault="00E01832">
            <w:pPr>
              <w:pStyle w:val="ConsPlusNormal"/>
            </w:pPr>
            <w:r>
              <w:t>5 марта 2022 года</w:t>
            </w:r>
          </w:p>
        </w:tc>
        <w:tc>
          <w:tcPr>
            <w:tcW w:w="4677" w:type="dxa"/>
            <w:tcBorders>
              <w:top w:val="nil"/>
              <w:left w:val="nil"/>
              <w:bottom w:val="nil"/>
              <w:right w:val="nil"/>
            </w:tcBorders>
          </w:tcPr>
          <w:p w:rsidR="00E01832" w:rsidRDefault="00E01832">
            <w:pPr>
              <w:pStyle w:val="ConsPlusNormal"/>
              <w:jc w:val="right"/>
            </w:pPr>
            <w:r>
              <w:t>N 95</w:t>
            </w:r>
          </w:p>
        </w:tc>
      </w:tr>
    </w:tbl>
    <w:p w:rsidR="00E01832" w:rsidRDefault="00E01832">
      <w:pPr>
        <w:pStyle w:val="ConsPlusNormal"/>
        <w:pBdr>
          <w:bottom w:val="single" w:sz="6" w:space="0" w:color="auto"/>
        </w:pBdr>
        <w:spacing w:before="100" w:after="100"/>
        <w:jc w:val="both"/>
        <w:rPr>
          <w:sz w:val="2"/>
          <w:szCs w:val="2"/>
        </w:rPr>
      </w:pPr>
    </w:p>
    <w:p w:rsidR="00E01832" w:rsidRDefault="00E01832">
      <w:pPr>
        <w:pStyle w:val="ConsPlusNormal"/>
        <w:jc w:val="both"/>
      </w:pPr>
    </w:p>
    <w:p w:rsidR="00E01832" w:rsidRDefault="00E01832">
      <w:pPr>
        <w:pStyle w:val="ConsPlusTitle"/>
        <w:jc w:val="center"/>
      </w:pPr>
      <w:r>
        <w:t>УКАЗ</w:t>
      </w:r>
    </w:p>
    <w:p w:rsidR="00E01832" w:rsidRDefault="00E01832">
      <w:pPr>
        <w:pStyle w:val="ConsPlusTitle"/>
        <w:jc w:val="center"/>
      </w:pPr>
    </w:p>
    <w:p w:rsidR="00E01832" w:rsidRDefault="00E01832">
      <w:pPr>
        <w:pStyle w:val="ConsPlusTitle"/>
        <w:jc w:val="center"/>
      </w:pPr>
      <w:r>
        <w:t>ПРЕЗИДЕНТА РОССИЙСКОЙ ФЕДЕРАЦИИ</w:t>
      </w:r>
    </w:p>
    <w:p w:rsidR="00E01832" w:rsidRDefault="00E01832">
      <w:pPr>
        <w:pStyle w:val="ConsPlusTitle"/>
        <w:jc w:val="center"/>
      </w:pPr>
    </w:p>
    <w:p w:rsidR="00E01832" w:rsidRDefault="00E01832">
      <w:pPr>
        <w:pStyle w:val="ConsPlusTitle"/>
        <w:jc w:val="center"/>
      </w:pPr>
      <w:r>
        <w:t>О ВРЕМЕННОМ ПОРЯДКЕ</w:t>
      </w:r>
    </w:p>
    <w:p w:rsidR="00E01832" w:rsidRDefault="00E01832">
      <w:pPr>
        <w:pStyle w:val="ConsPlusTitle"/>
        <w:jc w:val="center"/>
      </w:pPr>
      <w:r>
        <w:t>ИСПОЛНЕНИЯ ОБЯЗАТЕЛЬСТВ ПЕРЕД НЕКОТОРЫМИ</w:t>
      </w:r>
    </w:p>
    <w:p w:rsidR="00E01832" w:rsidRDefault="00E01832">
      <w:pPr>
        <w:pStyle w:val="ConsPlusTitle"/>
        <w:jc w:val="center"/>
      </w:pPr>
      <w:r>
        <w:t>ИНОСТРАННЫМИ КРЕДИТОРАМИ</w:t>
      </w:r>
    </w:p>
    <w:p w:rsidR="00E01832" w:rsidRDefault="00E0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832" w:rsidRDefault="00E0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832" w:rsidRDefault="00E01832">
            <w:pPr>
              <w:pStyle w:val="ConsPlusNormal"/>
              <w:jc w:val="center"/>
            </w:pPr>
            <w:r>
              <w:rPr>
                <w:color w:val="392C69"/>
              </w:rPr>
              <w:t>Список изменяющих документов</w:t>
            </w:r>
          </w:p>
          <w:p w:rsidR="00E01832" w:rsidRDefault="00E01832">
            <w:pPr>
              <w:pStyle w:val="ConsPlusNormal"/>
              <w:jc w:val="center"/>
            </w:pPr>
            <w:r>
              <w:rPr>
                <w:color w:val="392C69"/>
              </w:rPr>
              <w:t xml:space="preserve">(с изм., внесенными Указами Президента РФ от 18.03.2022 </w:t>
            </w:r>
            <w:hyperlink r:id="rId5">
              <w:r>
                <w:rPr>
                  <w:color w:val="0000FF"/>
                </w:rPr>
                <w:t>N 126</w:t>
              </w:r>
            </w:hyperlink>
            <w:r>
              <w:rPr>
                <w:color w:val="392C69"/>
              </w:rPr>
              <w:t>,</w:t>
            </w:r>
          </w:p>
          <w:p w:rsidR="00E01832" w:rsidRDefault="00E01832">
            <w:pPr>
              <w:pStyle w:val="ConsPlusNormal"/>
              <w:jc w:val="center"/>
            </w:pPr>
            <w:r>
              <w:rPr>
                <w:color w:val="392C69"/>
              </w:rPr>
              <w:t xml:space="preserve">от 31.03.2022 </w:t>
            </w:r>
            <w:hyperlink r:id="rId6">
              <w:r>
                <w:rPr>
                  <w:color w:val="0000FF"/>
                </w:rPr>
                <w:t>N 172</w:t>
              </w:r>
            </w:hyperlink>
            <w:r>
              <w:rPr>
                <w:color w:val="392C69"/>
              </w:rPr>
              <w:t xml:space="preserve">, от 01.04.2022 </w:t>
            </w:r>
            <w:hyperlink r:id="rId7">
              <w:r>
                <w:rPr>
                  <w:color w:val="0000FF"/>
                </w:rPr>
                <w:t>N 179</w:t>
              </w:r>
            </w:hyperlink>
            <w:r>
              <w:rPr>
                <w:color w:val="392C69"/>
              </w:rPr>
              <w:t xml:space="preserve">, от 04.05.2022 </w:t>
            </w:r>
            <w:hyperlink r:id="rId8">
              <w:r>
                <w:rPr>
                  <w:color w:val="0000FF"/>
                </w:rPr>
                <w:t>N 254</w:t>
              </w:r>
            </w:hyperlink>
            <w:r>
              <w:rPr>
                <w:color w:val="392C69"/>
              </w:rPr>
              <w:t>,</w:t>
            </w:r>
          </w:p>
          <w:p w:rsidR="00E01832" w:rsidRDefault="00E01832">
            <w:pPr>
              <w:pStyle w:val="ConsPlusNormal"/>
              <w:jc w:val="center"/>
            </w:pPr>
            <w:r>
              <w:rPr>
                <w:color w:val="392C69"/>
              </w:rPr>
              <w:t xml:space="preserve">от 27.05.2022 </w:t>
            </w:r>
            <w:hyperlink r:id="rId9">
              <w:r>
                <w:rPr>
                  <w:color w:val="0000FF"/>
                </w:rPr>
                <w:t>N 322</w:t>
              </w:r>
            </w:hyperlink>
            <w:r>
              <w:rPr>
                <w:color w:val="392C69"/>
              </w:rPr>
              <w:t xml:space="preserve">, от 22.06.2022 </w:t>
            </w:r>
            <w:hyperlink r:id="rId10">
              <w:r>
                <w:rPr>
                  <w:color w:val="0000FF"/>
                </w:rPr>
                <w:t>N 394</w:t>
              </w:r>
            </w:hyperlink>
            <w:r>
              <w:rPr>
                <w:color w:val="392C69"/>
              </w:rPr>
              <w:t xml:space="preserve">, от 05.07.2022 </w:t>
            </w:r>
            <w:hyperlink r:id="rId11">
              <w:r>
                <w:rPr>
                  <w:color w:val="0000FF"/>
                </w:rPr>
                <w:t>N 430</w:t>
              </w:r>
            </w:hyperlink>
            <w:r>
              <w:rPr>
                <w:color w:val="392C69"/>
              </w:rPr>
              <w:t>,</w:t>
            </w:r>
          </w:p>
          <w:p w:rsidR="00E01832" w:rsidRDefault="00E01832">
            <w:pPr>
              <w:pStyle w:val="ConsPlusNormal"/>
              <w:jc w:val="center"/>
            </w:pPr>
            <w:r>
              <w:rPr>
                <w:color w:val="392C69"/>
              </w:rPr>
              <w:t xml:space="preserve">от 08.08.2022 </w:t>
            </w:r>
            <w:hyperlink r:id="rId12">
              <w:r>
                <w:rPr>
                  <w:color w:val="0000FF"/>
                </w:rPr>
                <w:t>N 529</w:t>
              </w:r>
            </w:hyperlink>
            <w:r>
              <w:rPr>
                <w:color w:val="392C69"/>
              </w:rPr>
              <w:t xml:space="preserve">, от 08.09.2022 </w:t>
            </w:r>
            <w:hyperlink r:id="rId13">
              <w:r>
                <w:rPr>
                  <w:color w:val="0000FF"/>
                </w:rPr>
                <w:t>N 618</w:t>
              </w:r>
            </w:hyperlink>
            <w:r>
              <w:rPr>
                <w:color w:val="392C69"/>
              </w:rPr>
              <w:t xml:space="preserve">, от 15.10.2022 </w:t>
            </w:r>
            <w:hyperlink r:id="rId14">
              <w:r>
                <w:rPr>
                  <w:color w:val="0000FF"/>
                </w:rPr>
                <w:t>N 737</w:t>
              </w:r>
            </w:hyperlink>
            <w:r>
              <w:rPr>
                <w:color w:val="392C69"/>
              </w:rPr>
              <w:t>,</w:t>
            </w:r>
          </w:p>
          <w:p w:rsidR="00E01832" w:rsidRDefault="00E01832">
            <w:pPr>
              <w:pStyle w:val="ConsPlusNormal"/>
              <w:jc w:val="center"/>
            </w:pPr>
            <w:r>
              <w:rPr>
                <w:color w:val="392C69"/>
              </w:rPr>
              <w:t xml:space="preserve">от 03.03.2023 </w:t>
            </w:r>
            <w:hyperlink r:id="rId15">
              <w:r>
                <w:rPr>
                  <w:color w:val="0000FF"/>
                </w:rPr>
                <w:t>N 138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r>
    </w:tbl>
    <w:p w:rsidR="00E01832" w:rsidRDefault="00E01832">
      <w:pPr>
        <w:pStyle w:val="ConsPlusNormal"/>
        <w:jc w:val="both"/>
      </w:pPr>
    </w:p>
    <w:p w:rsidR="00E01832" w:rsidRDefault="00E01832">
      <w:pPr>
        <w:pStyle w:val="ConsPlusNormal"/>
        <w:ind w:firstLine="540"/>
        <w:jc w:val="both"/>
      </w:pPr>
      <w:r>
        <w:t xml:space="preserve">В дополнение к мерам экономического характера, предусмотренным указами Президента Российской Федерации от </w:t>
      </w:r>
      <w:hyperlink r:id="rId16">
        <w:r>
          <w:rPr>
            <w:color w:val="0000FF"/>
          </w:rPr>
          <w:t>28 февраля 2022 г. N 79</w:t>
        </w:r>
      </w:hyperlink>
      <w:r>
        <w:t xml:space="preserve">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и от </w:t>
      </w:r>
      <w:hyperlink r:id="rId17">
        <w:r>
          <w:rPr>
            <w:color w:val="0000FF"/>
          </w:rPr>
          <w:t>1 марта 2022 г. N 81</w:t>
        </w:r>
      </w:hyperlink>
      <w:r>
        <w:t xml:space="preserve"> "О дополнительных временных мерах экономического характера по обеспечению финансовой стабильности Российской Федерации", постановляю:</w:t>
      </w:r>
    </w:p>
    <w:p w:rsidR="00E01832" w:rsidRDefault="00E01832">
      <w:pPr>
        <w:pStyle w:val="ConsPlusNormal"/>
        <w:spacing w:before="220"/>
        <w:ind w:firstLine="540"/>
        <w:jc w:val="both"/>
      </w:pPr>
      <w:bookmarkStart w:id="0" w:name="P19"/>
      <w:bookmarkEnd w:id="0"/>
      <w:r>
        <w:t xml:space="preserve">1. Установить временный порядок исполнения Российской Федерацией, субъектами Российской Федерации, муниципальными образованиями, резидентами (далее также - должники) обязательств по кредитам и займам, финансовым инструментам перед иностранными кредиторами, являющимися иностранными лицами, связанными с иностранными </w:t>
      </w:r>
      <w:hyperlink r:id="rId18">
        <w:r>
          <w:rPr>
            <w:color w:val="0000FF"/>
          </w:rPr>
          <w:t>государствами</w:t>
        </w:r>
      </w:hyperlink>
      <w:r>
        <w:t>, которые совершают в отношении Российской Федерации,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или лицами,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 (далее - иностранные кредиторы).</w:t>
      </w:r>
    </w:p>
    <w:p w:rsidR="00E01832" w:rsidRDefault="00E01832">
      <w:pPr>
        <w:pStyle w:val="ConsPlusNormal"/>
        <w:spacing w:before="220"/>
        <w:ind w:firstLine="540"/>
        <w:jc w:val="both"/>
      </w:pPr>
      <w:r>
        <w:t>2. Порядок исполнения обязательств, установленный настоящим Указом, распространяется на исполнение обязательств в размере, превышающем 10 млн. рублей в календарный месяц, или в размере, превышающем эквивалент этой суммы в иностранной валюте по официальному курсу Центрального банка Российской Федерации, установленному на 1-е число каждого месяца.</w:t>
      </w:r>
    </w:p>
    <w:p w:rsidR="00E01832" w:rsidRDefault="00E01832">
      <w:pPr>
        <w:pStyle w:val="ConsPlusNormal"/>
        <w:spacing w:before="220"/>
        <w:ind w:firstLine="540"/>
        <w:jc w:val="both"/>
      </w:pPr>
      <w:r>
        <w:t xml:space="preserve">3. В целях исполнения обязательств, названных в </w:t>
      </w:r>
      <w:hyperlink w:anchor="P19">
        <w:r>
          <w:rPr>
            <w:color w:val="0000FF"/>
          </w:rPr>
          <w:t>пункте 1</w:t>
        </w:r>
      </w:hyperlink>
      <w:r>
        <w:t xml:space="preserve"> настоящего Указа, должник вправе направить в российскую кредитную организацию заявление об открытии на имя иностранного кредитора или иностранной организации, имеющей право в соответствии с ее личным законом осуществлять учет и переход прав на ценные бумаги (иностранный номинальный держатель), в отношении которых осуществляется исполнение обязательств, счета типа "С", предназначенного для проведения расчетов по данным обязательствам. В целях исполнения обязательств, связанных с эмиссией ценных бумаг, должник вправе направить такое заявление в небанковскую кредитную организацию, являющуюся центральным депозитарием в соответствии с Федеральным </w:t>
      </w:r>
      <w:hyperlink r:id="rId19">
        <w:r>
          <w:rPr>
            <w:color w:val="0000FF"/>
          </w:rPr>
          <w:t>законом</w:t>
        </w:r>
      </w:hyperlink>
      <w:r>
        <w:t xml:space="preserve"> от </w:t>
      </w:r>
      <w:r>
        <w:lastRenderedPageBreak/>
        <w:t>7 декабря 2011 г. N 414-ФЗ "О центральном депозитарии".</w:t>
      </w:r>
    </w:p>
    <w:p w:rsidR="00E01832" w:rsidRDefault="00E01832">
      <w:pPr>
        <w:pStyle w:val="ConsPlusNormal"/>
        <w:spacing w:before="220"/>
        <w:ind w:firstLine="540"/>
        <w:jc w:val="both"/>
      </w:pPr>
      <w:r>
        <w:t>4. Предусмотреть, что к счетам типа "С" со дня вступления в силу настоящего Указа относятся счета депо, открытые до этой даты на имя нерезидента, являющегося иностранным кредитором, либо на имя иностранного номинального держателя.</w:t>
      </w:r>
    </w:p>
    <w:p w:rsidR="00E01832" w:rsidRDefault="00E01832">
      <w:pPr>
        <w:pStyle w:val="ConsPlusNormal"/>
        <w:spacing w:before="220"/>
        <w:ind w:firstLine="540"/>
        <w:jc w:val="both"/>
      </w:pPr>
      <w:r>
        <w:t xml:space="preserve">5. Режим счета типа "С" устанавливается </w:t>
      </w:r>
      <w:hyperlink r:id="rId20">
        <w:r>
          <w:rPr>
            <w:color w:val="0000FF"/>
          </w:rPr>
          <w:t>решением</w:t>
        </w:r>
      </w:hyperlink>
      <w:r>
        <w:t xml:space="preserve"> Совета директоров Центрального банка Российской Федерации, подлежащим официальному опубликованию в соответствии со </w:t>
      </w:r>
      <w:hyperlink r:id="rId21">
        <w:r>
          <w:rPr>
            <w:color w:val="0000FF"/>
          </w:rPr>
          <w:t>статьей 7</w:t>
        </w:r>
      </w:hyperlink>
      <w:r>
        <w:t xml:space="preserve"> Федерального закона от 10 июля 2002 г. N 86-ФЗ "О Центральном банке Российской Федерации (Банке России)". Счет типа "С" ведется в рублях.</w:t>
      </w:r>
    </w:p>
    <w:p w:rsidR="00E01832" w:rsidRDefault="00E01832">
      <w:pPr>
        <w:pStyle w:val="ConsPlusNormal"/>
        <w:spacing w:before="220"/>
        <w:ind w:firstLine="540"/>
        <w:jc w:val="both"/>
      </w:pPr>
      <w:r>
        <w:t xml:space="preserve">6. Установить, что обязательства, названные в </w:t>
      </w:r>
      <w:hyperlink w:anchor="P19">
        <w:r>
          <w:rPr>
            <w:color w:val="0000FF"/>
          </w:rPr>
          <w:t>пункте 1</w:t>
        </w:r>
      </w:hyperlink>
      <w:r>
        <w:t xml:space="preserve"> настоящего Указа, признаются исполненными надлежащим образом, если:</w:t>
      </w:r>
    </w:p>
    <w:p w:rsidR="00E01832" w:rsidRDefault="00E01832">
      <w:pPr>
        <w:pStyle w:val="ConsPlusNormal"/>
        <w:spacing w:before="220"/>
        <w:ind w:firstLine="540"/>
        <w:jc w:val="both"/>
      </w:pPr>
      <w:bookmarkStart w:id="1" w:name="P25"/>
      <w:bookmarkEnd w:id="1"/>
      <w:r>
        <w:t xml:space="preserve">а) они исполнены в рублях в сумме, эквивалентной стоимости обязательств в иностранной валюте (независимо от того, в какой валюте выражена такая стоимость) и рассчитанной по официальному курсу Центрального банка Российской Федерации, установленному на день, когда был произведен соответствующий платеж, перед иностранными кредиторами, не названными в </w:t>
      </w:r>
      <w:hyperlink w:anchor="P19">
        <w:r>
          <w:rPr>
            <w:color w:val="0000FF"/>
          </w:rPr>
          <w:t>пункте 1</w:t>
        </w:r>
      </w:hyperlink>
      <w:r>
        <w:t xml:space="preserve"> настоящего Указа;</w:t>
      </w:r>
    </w:p>
    <w:p w:rsidR="00E01832" w:rsidRDefault="00E01832">
      <w:pPr>
        <w:pStyle w:val="ConsPlusNormal"/>
        <w:spacing w:before="220"/>
        <w:ind w:firstLine="540"/>
        <w:jc w:val="both"/>
      </w:pPr>
      <w:bookmarkStart w:id="2" w:name="P26"/>
      <w:bookmarkEnd w:id="2"/>
      <w:r>
        <w:t>б) они исполнены перед резидентами, ценные бумаги которых учитываются на счетах депо в российских депозитариях, путем перечисления должником на счет кредитора средств в рублях в сумме, эквивалентной стоимости обязательств в иностранной валюте и рассчитанной по официальному курсу Центрального банка Российской Федерации, установленному на день, когда был произведен соответствующий платеж. При этом платежи производятся через российских депозитариев без перечисления средств на счета типа "С";</w:t>
      </w:r>
    </w:p>
    <w:p w:rsidR="00E01832" w:rsidRDefault="00E01832">
      <w:pPr>
        <w:pStyle w:val="ConsPlusNormal"/>
        <w:spacing w:before="220"/>
        <w:ind w:firstLine="540"/>
        <w:jc w:val="both"/>
      </w:pPr>
      <w:r>
        <w:t xml:space="preserve">в) они исполнены перед иностранным номинальным держателем путем перечисления должником на счет типа "С" иностранного номинального держателя, открытый в российском депозитарии, средств в рублях в сумме, эквивалентной стоимости обязательств в иностранной валюте и рассчитанной по официальному курсу Центрального банка Российской Федерации, установленному на день, когда был произведен соответствующий платеж, для последующего перечисления владельцам ценных бумаг, являющимся иностранными кредиторами, названными в </w:t>
      </w:r>
      <w:hyperlink w:anchor="P19">
        <w:r>
          <w:rPr>
            <w:color w:val="0000FF"/>
          </w:rPr>
          <w:t>пункте 1</w:t>
        </w:r>
      </w:hyperlink>
      <w:r>
        <w:t xml:space="preserve"> настоящего Указа, этих средств в сумме, причитающейся к выплате по условиям эмиссии ценных бумаг, за вычетом суммы платежей, произведенных владельцам ценных бумаг, являющимся лицами, порядок исполнения обязательств перед которыми установлен </w:t>
      </w:r>
      <w:hyperlink w:anchor="P25">
        <w:r>
          <w:rPr>
            <w:color w:val="0000FF"/>
          </w:rPr>
          <w:t>подпунктами "а"</w:t>
        </w:r>
      </w:hyperlink>
      <w:r>
        <w:t xml:space="preserve"> и </w:t>
      </w:r>
      <w:hyperlink w:anchor="P26">
        <w:r>
          <w:rPr>
            <w:color w:val="0000FF"/>
          </w:rPr>
          <w:t>"б"</w:t>
        </w:r>
      </w:hyperlink>
      <w:r>
        <w:t xml:space="preserve"> настоящего пункта;</w:t>
      </w:r>
    </w:p>
    <w:p w:rsidR="00E01832" w:rsidRDefault="00E01832">
      <w:pPr>
        <w:pStyle w:val="ConsPlusNormal"/>
        <w:spacing w:before="220"/>
        <w:ind w:firstLine="540"/>
        <w:jc w:val="both"/>
      </w:pPr>
      <w:r>
        <w:t xml:space="preserve">г) они исполнены в порядке, определенном в соответствии с </w:t>
      </w:r>
      <w:hyperlink w:anchor="P34">
        <w:r>
          <w:rPr>
            <w:color w:val="0000FF"/>
          </w:rPr>
          <w:t>пунктом 10</w:t>
        </w:r>
      </w:hyperlink>
      <w:r>
        <w:t xml:space="preserve"> или </w:t>
      </w:r>
      <w:hyperlink w:anchor="P37">
        <w:r>
          <w:rPr>
            <w:color w:val="0000FF"/>
          </w:rPr>
          <w:t>11</w:t>
        </w:r>
      </w:hyperlink>
      <w:r>
        <w:t xml:space="preserve"> настоящего Указа.</w:t>
      </w:r>
    </w:p>
    <w:p w:rsidR="00E01832" w:rsidRDefault="00E01832">
      <w:pPr>
        <w:pStyle w:val="ConsPlusNormal"/>
        <w:spacing w:before="220"/>
        <w:ind w:firstLine="540"/>
        <w:jc w:val="both"/>
      </w:pPr>
      <w:r>
        <w:t>7. В случае перечисления должником средств на счет типа "С" кредитор вправе обратиться в кредитную организацию, в которой открыт такой счет, с заявлением об использовании средств в порядке, определенном Центральным банком Российской Федерации (в отношении исполнения обязательств кредитными организациями и некредитными финансовыми организациями) либо Министерством финансов Российской Федерации (в отношении исполнения обязательств другими должниками).</w:t>
      </w:r>
    </w:p>
    <w:p w:rsidR="00E01832" w:rsidRDefault="00E0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832" w:rsidRDefault="00E0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832" w:rsidRDefault="00E01832">
            <w:pPr>
              <w:pStyle w:val="ConsPlusNormal"/>
              <w:jc w:val="both"/>
            </w:pPr>
            <w:r>
              <w:rPr>
                <w:color w:val="392C69"/>
              </w:rPr>
              <w:t>КонсультантПлюс: примечание.</w:t>
            </w:r>
          </w:p>
          <w:p w:rsidR="00E01832" w:rsidRDefault="00E01832">
            <w:pPr>
              <w:pStyle w:val="ConsPlusNormal"/>
              <w:jc w:val="both"/>
            </w:pPr>
            <w:r>
              <w:rPr>
                <w:color w:val="392C69"/>
              </w:rPr>
              <w:t xml:space="preserve">П. 8 не распространяется на исполнение обязательств: по ОФЗ, перевод учета прав на которые осуществлен по ФЗ от 14.07.2022 </w:t>
            </w:r>
            <w:hyperlink r:id="rId22">
              <w:r>
                <w:rPr>
                  <w:color w:val="0000FF"/>
                </w:rPr>
                <w:t>N 319-ФЗ</w:t>
              </w:r>
            </w:hyperlink>
            <w:r>
              <w:rPr>
                <w:color w:val="392C69"/>
              </w:rPr>
              <w:t>; по иным ценным бумагам перед резидентами, а также перед отдельными нерезидентами (</w:t>
            </w:r>
            <w:hyperlink r:id="rId23">
              <w:r>
                <w:rPr>
                  <w:color w:val="0000FF"/>
                </w:rPr>
                <w:t>Указ</w:t>
              </w:r>
            </w:hyperlink>
            <w:r>
              <w:rPr>
                <w:color w:val="392C69"/>
              </w:rPr>
              <w:t xml:space="preserve"> Президента РФ от 03.03.2023 N 138).</w:t>
            </w: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r>
    </w:tbl>
    <w:p w:rsidR="00E01832" w:rsidRDefault="00E01832">
      <w:pPr>
        <w:pStyle w:val="ConsPlusNormal"/>
        <w:spacing w:before="280"/>
        <w:ind w:firstLine="540"/>
        <w:jc w:val="both"/>
      </w:pPr>
      <w:r>
        <w:t xml:space="preserve">8. Исполнение должниками обязательств перед резидентами, а также перед иностранными </w:t>
      </w:r>
      <w:r>
        <w:lastRenderedPageBreak/>
        <w:t xml:space="preserve">кредиторами, не названными в </w:t>
      </w:r>
      <w:hyperlink w:anchor="P19">
        <w:r>
          <w:rPr>
            <w:color w:val="0000FF"/>
          </w:rPr>
          <w:t>пункте 1</w:t>
        </w:r>
      </w:hyperlink>
      <w:r>
        <w:t xml:space="preserve"> настоящего Указа, если право требования по таким обязательствам было уступлено им после 1 марта 2022 г. иностранными кредиторами, названными в </w:t>
      </w:r>
      <w:hyperlink w:anchor="P19">
        <w:r>
          <w:rPr>
            <w:color w:val="0000FF"/>
          </w:rPr>
          <w:t>пункте 1</w:t>
        </w:r>
      </w:hyperlink>
      <w:r>
        <w:t xml:space="preserve"> настоящего Указа (или после иной </w:t>
      </w:r>
      <w:hyperlink r:id="rId24">
        <w:r>
          <w:rPr>
            <w:color w:val="0000FF"/>
          </w:rPr>
          <w:t>даты</w:t>
        </w:r>
      </w:hyperlink>
      <w:r>
        <w:t>, определенной Советом директоров Центрального банка Российской Федерации в отношении некоторых категорий лиц), осуществляется в порядке, предусмотренном настоящим Указом.</w:t>
      </w:r>
    </w:p>
    <w:p w:rsidR="00E01832" w:rsidRDefault="00E01832">
      <w:pPr>
        <w:pStyle w:val="ConsPlusNormal"/>
        <w:spacing w:before="220"/>
        <w:ind w:firstLine="540"/>
        <w:jc w:val="both"/>
      </w:pPr>
      <w:r>
        <w:t>9. Исполнение российскими юридическими лицами обязательств, связанных с выпуском иностранными организациями иностранных эмиссионных ценных бумаг (еврооблигаций, депозитарных расписок), осуществляется в порядке, установленном настоящим Указом.</w:t>
      </w:r>
    </w:p>
    <w:p w:rsidR="00E01832" w:rsidRDefault="00E01832">
      <w:pPr>
        <w:pStyle w:val="ConsPlusNormal"/>
        <w:spacing w:before="220"/>
        <w:ind w:firstLine="540"/>
        <w:jc w:val="both"/>
      </w:pPr>
      <w:bookmarkStart w:id="3" w:name="P34"/>
      <w:bookmarkEnd w:id="3"/>
      <w:r>
        <w:t xml:space="preserve">10. Предоставить Центральному банку Российской Федерации (в отношении исполнения обязательств кредитными организациями и некредитными финансовыми организациями) и Министерству финансов Российской Федерации (в отношении исполнения обязательств другими должниками) полномочия определять иной порядок исполнения должниками обязательств, названных в </w:t>
      </w:r>
      <w:hyperlink w:anchor="P19">
        <w:r>
          <w:rPr>
            <w:color w:val="0000FF"/>
          </w:rPr>
          <w:t>пункте 1</w:t>
        </w:r>
      </w:hyperlink>
      <w:r>
        <w:t xml:space="preserve"> настоящего Указа.</w:t>
      </w:r>
    </w:p>
    <w:p w:rsidR="00E01832" w:rsidRDefault="00E0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832" w:rsidRDefault="00E0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832" w:rsidRDefault="00E01832">
            <w:pPr>
              <w:pStyle w:val="ConsPlusNormal"/>
              <w:jc w:val="both"/>
            </w:pPr>
            <w:r>
              <w:rPr>
                <w:color w:val="392C69"/>
              </w:rPr>
              <w:t>КонсультантПлюс: примечание.</w:t>
            </w:r>
          </w:p>
          <w:p w:rsidR="00E01832" w:rsidRDefault="00E01832">
            <w:pPr>
              <w:pStyle w:val="ConsPlusNormal"/>
              <w:jc w:val="both"/>
            </w:pPr>
            <w:r>
              <w:rPr>
                <w:color w:val="392C69"/>
              </w:rPr>
              <w:t xml:space="preserve">Разрешения, предусмотренные п. 11, </w:t>
            </w:r>
            <w:hyperlink r:id="rId25">
              <w:r>
                <w:rPr>
                  <w:color w:val="0000FF"/>
                </w:rPr>
                <w:t>выдаются</w:t>
              </w:r>
            </w:hyperlink>
            <w:r>
              <w:rPr>
                <w:color w:val="392C69"/>
              </w:rPr>
              <w:t xml:space="preserve"> при соблюдении российскими юрлицами требований </w:t>
            </w:r>
            <w:hyperlink r:id="rId26">
              <w:r>
                <w:rPr>
                  <w:color w:val="0000FF"/>
                </w:rPr>
                <w:t>п. 4</w:t>
              </w:r>
            </w:hyperlink>
            <w:r>
              <w:rPr>
                <w:color w:val="392C69"/>
              </w:rPr>
              <w:t xml:space="preserve"> и </w:t>
            </w:r>
            <w:hyperlink r:id="rId27">
              <w:r>
                <w:rPr>
                  <w:color w:val="0000FF"/>
                </w:rPr>
                <w:t>5</w:t>
              </w:r>
            </w:hyperlink>
            <w:r>
              <w:rPr>
                <w:color w:val="392C69"/>
              </w:rPr>
              <w:t xml:space="preserve"> Указа Президента РФ от 05.07.2022 N 430 или на основании решения Правительства РФ.</w:t>
            </w: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r>
    </w:tbl>
    <w:p w:rsidR="00E01832" w:rsidRDefault="00E01832">
      <w:pPr>
        <w:pStyle w:val="ConsPlusNormal"/>
        <w:spacing w:before="280"/>
        <w:ind w:firstLine="540"/>
        <w:jc w:val="both"/>
      </w:pPr>
      <w:bookmarkStart w:id="4" w:name="P37"/>
      <w:bookmarkEnd w:id="4"/>
      <w:r>
        <w:t xml:space="preserve">11. До определения в соответствии с </w:t>
      </w:r>
      <w:hyperlink w:anchor="P34">
        <w:r>
          <w:rPr>
            <w:color w:val="0000FF"/>
          </w:rPr>
          <w:t>пунктом 10</w:t>
        </w:r>
      </w:hyperlink>
      <w:r>
        <w:t xml:space="preserve"> настоящего Указа порядка исполнения должниками обязательств предоставить полномочия по выдаче разрешений на исполнение обязательств без соблюдения порядка, предусмотренного настоящим Указом:</w:t>
      </w:r>
    </w:p>
    <w:p w:rsidR="00E01832" w:rsidRDefault="00E01832">
      <w:pPr>
        <w:pStyle w:val="ConsPlusNormal"/>
        <w:spacing w:before="220"/>
        <w:ind w:firstLine="540"/>
        <w:jc w:val="both"/>
      </w:pPr>
      <w:r>
        <w:t>а) Центральному банку Российской Федерации - в отношении кредитных организаций и некредитных финансовых организаций;</w:t>
      </w:r>
    </w:p>
    <w:p w:rsidR="00E01832" w:rsidRDefault="00E01832">
      <w:pPr>
        <w:pStyle w:val="ConsPlusNormal"/>
        <w:spacing w:before="220"/>
        <w:ind w:firstLine="540"/>
        <w:jc w:val="both"/>
      </w:pPr>
      <w:r>
        <w:t>б) Министерству финансов Российской Федерации по согласованию с Центральным банком Российской Федерации - в отношении других должников.</w:t>
      </w:r>
    </w:p>
    <w:p w:rsidR="00E01832" w:rsidRDefault="00E018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018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1832" w:rsidRDefault="00E018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01832" w:rsidRDefault="00E01832">
            <w:pPr>
              <w:pStyle w:val="ConsPlusNormal"/>
              <w:jc w:val="both"/>
            </w:pPr>
            <w:r>
              <w:rPr>
                <w:color w:val="392C69"/>
              </w:rPr>
              <w:t>КонсультантПлюс: примечание.</w:t>
            </w:r>
          </w:p>
          <w:p w:rsidR="00E01832" w:rsidRDefault="00E01832">
            <w:pPr>
              <w:pStyle w:val="ConsPlusNormal"/>
              <w:jc w:val="both"/>
            </w:pPr>
            <w:r>
              <w:rPr>
                <w:color w:val="392C69"/>
              </w:rPr>
              <w:t xml:space="preserve">П. 12 </w:t>
            </w:r>
            <w:hyperlink r:id="rId28">
              <w:r>
                <w:rPr>
                  <w:color w:val="0000FF"/>
                </w:rPr>
                <w:t>распространяется</w:t>
              </w:r>
            </w:hyperlink>
            <w:r>
              <w:rPr>
                <w:color w:val="392C69"/>
              </w:rPr>
              <w:t xml:space="preserve"> на применение </w:t>
            </w:r>
            <w:hyperlink r:id="rId29">
              <w:r>
                <w:rPr>
                  <w:color w:val="0000FF"/>
                </w:rPr>
                <w:t>п. 1</w:t>
              </w:r>
            </w:hyperlink>
            <w:r>
              <w:rPr>
                <w:color w:val="392C69"/>
              </w:rPr>
              <w:t xml:space="preserve"> и </w:t>
            </w:r>
            <w:hyperlink r:id="rId30">
              <w:r>
                <w:rPr>
                  <w:color w:val="0000FF"/>
                </w:rPr>
                <w:t>2</w:t>
              </w:r>
            </w:hyperlink>
            <w:r>
              <w:rPr>
                <w:color w:val="392C69"/>
              </w:rPr>
              <w:t xml:space="preserve"> Указа Президента РФ от 08.09.2022 N 618 и </w:t>
            </w:r>
            <w:hyperlink r:id="rId31">
              <w:r>
                <w:rPr>
                  <w:color w:val="0000FF"/>
                </w:rPr>
                <w:t>п. 1</w:t>
              </w:r>
            </w:hyperlink>
            <w:r>
              <w:rPr>
                <w:color w:val="392C69"/>
              </w:rPr>
              <w:t xml:space="preserve"> Указа Президента РФ от 04.05.2022 N 254.</w:t>
            </w:r>
          </w:p>
        </w:tc>
        <w:tc>
          <w:tcPr>
            <w:tcW w:w="113" w:type="dxa"/>
            <w:tcBorders>
              <w:top w:val="nil"/>
              <w:left w:val="nil"/>
              <w:bottom w:val="nil"/>
              <w:right w:val="nil"/>
            </w:tcBorders>
            <w:shd w:val="clear" w:color="auto" w:fill="F4F3F8"/>
            <w:tcMar>
              <w:top w:w="0" w:type="dxa"/>
              <w:left w:w="0" w:type="dxa"/>
              <w:bottom w:w="0" w:type="dxa"/>
              <w:right w:w="0" w:type="dxa"/>
            </w:tcMar>
          </w:tcPr>
          <w:p w:rsidR="00E01832" w:rsidRDefault="00E01832">
            <w:pPr>
              <w:pStyle w:val="ConsPlusNormal"/>
            </w:pPr>
          </w:p>
        </w:tc>
      </w:tr>
    </w:tbl>
    <w:p w:rsidR="00E01832" w:rsidRDefault="00E01832">
      <w:pPr>
        <w:pStyle w:val="ConsPlusNormal"/>
        <w:spacing w:before="280"/>
        <w:ind w:firstLine="540"/>
        <w:jc w:val="both"/>
      </w:pPr>
      <w:r>
        <w:t xml:space="preserve">12. В целях применения </w:t>
      </w:r>
      <w:hyperlink r:id="rId32">
        <w:r>
          <w:rPr>
            <w:color w:val="0000FF"/>
          </w:rPr>
          <w:t>Указа</w:t>
        </w:r>
      </w:hyperlink>
      <w:r>
        <w:t xml:space="preserve"> Президента Российской Федерации от 1 марта 2022 г. N 81 "О дополнительных временных мерах экономического характера по обеспечению финансовой стабильности Российской Федерации" лицами иностранных государств, совершающих в отношении Российской Федерации, российских юридических лиц и физических лиц недружественные действия, названными в </w:t>
      </w:r>
      <w:hyperlink r:id="rId33">
        <w:r>
          <w:rPr>
            <w:color w:val="0000FF"/>
          </w:rPr>
          <w:t>подпункте "а" пункта 1</w:t>
        </w:r>
      </w:hyperlink>
      <w:r>
        <w:t xml:space="preserve"> этого Указа, не признаются лица, отвечающие одновременно следующим требованиям:</w:t>
      </w:r>
    </w:p>
    <w:p w:rsidR="00E01832" w:rsidRDefault="00E01832">
      <w:pPr>
        <w:pStyle w:val="ConsPlusNormal"/>
        <w:spacing w:before="220"/>
        <w:ind w:firstLine="540"/>
        <w:jc w:val="both"/>
      </w:pPr>
      <w:bookmarkStart w:id="5" w:name="P43"/>
      <w:bookmarkEnd w:id="5"/>
      <w:r>
        <w:t>а) они находятся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rsidR="00E01832" w:rsidRDefault="00E01832">
      <w:pPr>
        <w:pStyle w:val="ConsPlusNormal"/>
        <w:spacing w:before="220"/>
        <w:ind w:firstLine="540"/>
        <w:jc w:val="both"/>
      </w:pPr>
      <w:r>
        <w:t xml:space="preserve">б) информация о контроле над ними раскрыта российскими юридическими лицами или физическими лицами, названными в </w:t>
      </w:r>
      <w:hyperlink w:anchor="P43">
        <w:r>
          <w:rPr>
            <w:color w:val="0000FF"/>
          </w:rPr>
          <w:t>подпункте "а"</w:t>
        </w:r>
      </w:hyperlink>
      <w:r>
        <w:t xml:space="preserve"> настоящего пункта, налоговым органам Российской Федерации в соответствии с требованиями законодательства Российской Федерации.</w:t>
      </w:r>
    </w:p>
    <w:p w:rsidR="00E01832" w:rsidRDefault="00E01832">
      <w:pPr>
        <w:pStyle w:val="ConsPlusNormal"/>
        <w:spacing w:before="220"/>
        <w:ind w:firstLine="540"/>
        <w:jc w:val="both"/>
      </w:pPr>
      <w:r>
        <w:t xml:space="preserve">13. Предоставить Центральному банку Российской Федерации право давать официальные разъяснения по вопросам применения настоящего Указа, а также указов Президента Российской </w:t>
      </w:r>
      <w:r>
        <w:lastRenderedPageBreak/>
        <w:t xml:space="preserve">Федерации от </w:t>
      </w:r>
      <w:hyperlink r:id="rId34">
        <w:r>
          <w:rPr>
            <w:color w:val="0000FF"/>
          </w:rPr>
          <w:t>28 февраля 2022 г. N 79</w:t>
        </w:r>
      </w:hyperlink>
      <w:r>
        <w:t xml:space="preserve">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и от </w:t>
      </w:r>
      <w:hyperlink r:id="rId35">
        <w:r>
          <w:rPr>
            <w:color w:val="0000FF"/>
          </w:rPr>
          <w:t>1 марта 2022 г. N 81</w:t>
        </w:r>
      </w:hyperlink>
      <w:r>
        <w:t xml:space="preserve"> "О дополнительных временных мерах экономического характера по обеспечению финансовой стабильности Российской Федерации", имеющие обязательную силу на всей территории Российской Федерации.</w:t>
      </w:r>
    </w:p>
    <w:p w:rsidR="00E01832" w:rsidRDefault="00E01832">
      <w:pPr>
        <w:pStyle w:val="ConsPlusNormal"/>
        <w:spacing w:before="220"/>
        <w:ind w:firstLine="540"/>
        <w:jc w:val="both"/>
      </w:pPr>
      <w:r>
        <w:t xml:space="preserve">14. Правительству Российской Федерации в 2-дневный срок определить </w:t>
      </w:r>
      <w:hyperlink r:id="rId36">
        <w:r>
          <w:rPr>
            <w:color w:val="0000FF"/>
          </w:rPr>
          <w:t>перечень</w:t>
        </w:r>
      </w:hyperlink>
      <w:r>
        <w:t xml:space="preserve"> иностранных государств, совершающих в отношении Российской Федерации, российских юридических лиц и физических лиц недружественные действия.</w:t>
      </w:r>
    </w:p>
    <w:p w:rsidR="00E01832" w:rsidRDefault="00E01832">
      <w:pPr>
        <w:pStyle w:val="ConsPlusNormal"/>
        <w:spacing w:before="220"/>
        <w:ind w:firstLine="540"/>
        <w:jc w:val="both"/>
      </w:pPr>
      <w:r>
        <w:t>15. Настоящий Указ вступает в силу со дня его официального опубликования.</w:t>
      </w:r>
    </w:p>
    <w:p w:rsidR="00E01832" w:rsidRDefault="00E01832">
      <w:pPr>
        <w:pStyle w:val="ConsPlusNormal"/>
        <w:jc w:val="both"/>
      </w:pPr>
    </w:p>
    <w:p w:rsidR="00E01832" w:rsidRDefault="00E01832">
      <w:pPr>
        <w:pStyle w:val="ConsPlusNormal"/>
        <w:jc w:val="right"/>
      </w:pPr>
      <w:r>
        <w:t>Президент</w:t>
      </w:r>
    </w:p>
    <w:p w:rsidR="00E01832" w:rsidRDefault="00E01832">
      <w:pPr>
        <w:pStyle w:val="ConsPlusNormal"/>
        <w:jc w:val="right"/>
      </w:pPr>
      <w:r>
        <w:t>Российской Федерации</w:t>
      </w:r>
    </w:p>
    <w:p w:rsidR="00E01832" w:rsidRDefault="00E01832">
      <w:pPr>
        <w:pStyle w:val="ConsPlusNormal"/>
        <w:jc w:val="right"/>
      </w:pPr>
      <w:r>
        <w:t>В.ПУТИН</w:t>
      </w:r>
    </w:p>
    <w:p w:rsidR="00E01832" w:rsidRDefault="00E01832">
      <w:pPr>
        <w:pStyle w:val="ConsPlusNormal"/>
      </w:pPr>
      <w:r>
        <w:t>Москва, Кремль</w:t>
      </w:r>
    </w:p>
    <w:p w:rsidR="00E01832" w:rsidRDefault="00E01832">
      <w:pPr>
        <w:pStyle w:val="ConsPlusNormal"/>
        <w:spacing w:before="220"/>
      </w:pPr>
      <w:r>
        <w:t>5 марта 2022 года</w:t>
      </w:r>
    </w:p>
    <w:p w:rsidR="00E01832" w:rsidRDefault="00E01832">
      <w:pPr>
        <w:pStyle w:val="ConsPlusNormal"/>
        <w:spacing w:before="220"/>
      </w:pPr>
      <w:r>
        <w:t>N 95</w:t>
      </w:r>
    </w:p>
    <w:p w:rsidR="00E01832" w:rsidRDefault="00E01832">
      <w:pPr>
        <w:pStyle w:val="ConsPlusNormal"/>
        <w:jc w:val="both"/>
      </w:pPr>
    </w:p>
    <w:p w:rsidR="00E01832" w:rsidRDefault="00E01832">
      <w:pPr>
        <w:pStyle w:val="ConsPlusNormal"/>
        <w:jc w:val="both"/>
      </w:pPr>
    </w:p>
    <w:p w:rsidR="00E01832" w:rsidRDefault="00E01832">
      <w:pPr>
        <w:pStyle w:val="ConsPlusNormal"/>
        <w:pBdr>
          <w:bottom w:val="single" w:sz="6" w:space="0" w:color="auto"/>
        </w:pBdr>
        <w:spacing w:before="100" w:after="100"/>
        <w:jc w:val="both"/>
        <w:rPr>
          <w:sz w:val="2"/>
          <w:szCs w:val="2"/>
        </w:rPr>
      </w:pPr>
    </w:p>
    <w:p w:rsidR="004461FF" w:rsidRDefault="004461FF">
      <w:bookmarkStart w:id="6" w:name="_GoBack"/>
      <w:bookmarkEnd w:id="6"/>
    </w:p>
    <w:sectPr w:rsidR="004461FF" w:rsidSect="00675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4461FF"/>
    <w:rsid w:val="00E01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1A394-10B0-4D8F-B699-DFB98475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18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018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0183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A5522105556C413FC726690D2F86CB0220BEF535AC5BE423E7B9205F13065B5AC42317AF0CEFE8AB29B56DD98CB115AA7A3BAEADB55B1DYD6EH" TargetMode="External"/><Relationship Id="rId13" Type="http://schemas.openxmlformats.org/officeDocument/2006/relationships/hyperlink" Target="consultantplus://offline/ref=B2A5522105556C413FC726690D2F86CB0223BEF436AA5BE423E7B9205F13065B5AC42317AF0CEFE8AB29B56DD98CB115AA7A3BAEADB55B1DYD6EH" TargetMode="External"/><Relationship Id="rId18" Type="http://schemas.openxmlformats.org/officeDocument/2006/relationships/hyperlink" Target="consultantplus://offline/ref=B2A5522105556C413FC726690D2F86CB0222B8F431AA5BE423E7B9205F13065B5AC42317AF0CEFE8A529B56DD98CB115AA7A3BAEADB55B1DYD6EH" TargetMode="External"/><Relationship Id="rId26" Type="http://schemas.openxmlformats.org/officeDocument/2006/relationships/hyperlink" Target="consultantplus://offline/ref=B2A5522105556C413FC726690D2F86CB0225BFF133AA5BE423E7B9205F13065B5AC42317AF0CEFE9A929B56DD98CB115AA7A3BAEADB55B1DYD6EH" TargetMode="External"/><Relationship Id="rId3" Type="http://schemas.openxmlformats.org/officeDocument/2006/relationships/webSettings" Target="webSettings.xml"/><Relationship Id="rId21" Type="http://schemas.openxmlformats.org/officeDocument/2006/relationships/hyperlink" Target="consultantplus://offline/ref=B2A5522105556C413FC726690D2F86CB0221B9F133AF5BE423E7B9205F13065B5AC42317AF0CEFEDAE29B56DD98CB115AA7A3BAEADB55B1DYD6EH" TargetMode="External"/><Relationship Id="rId34" Type="http://schemas.openxmlformats.org/officeDocument/2006/relationships/hyperlink" Target="consultantplus://offline/ref=B2A5522105556C413FC726690D2F86CB0220B0FE31AC5BE423E7B9205F13065B48C47B1BAE08F1E8AB3CE33C9FYD6AH" TargetMode="External"/><Relationship Id="rId7" Type="http://schemas.openxmlformats.org/officeDocument/2006/relationships/hyperlink" Target="consultantplus://offline/ref=B2A5522105556C413FC726690D2F86CB0220BBF231A95BE423E7B9205F13065B5AC42317AF0CEFE8AB29B56DD98CB115AA7A3BAEADB55B1DYD6EH" TargetMode="External"/><Relationship Id="rId12" Type="http://schemas.openxmlformats.org/officeDocument/2006/relationships/hyperlink" Target="consultantplus://offline/ref=B2A5522105556C413FC726690D2F86CB0223BCF633AC5BE423E7B9205F13065B5AC42317AF0CEFE8AB29B56DD98CB115AA7A3BAEADB55B1DYD6EH" TargetMode="External"/><Relationship Id="rId17" Type="http://schemas.openxmlformats.org/officeDocument/2006/relationships/hyperlink" Target="consultantplus://offline/ref=B2A5522105556C413FC726690D2F86CB0220B8F334A55BE423E7B9205F13065B48C47B1BAE08F1E8AB3CE33C9FYD6AH" TargetMode="External"/><Relationship Id="rId25" Type="http://schemas.openxmlformats.org/officeDocument/2006/relationships/hyperlink" Target="consultantplus://offline/ref=B2A5522105556C413FC726690D2F86CB0225BFF133AA5BE423E7B9205F13065B5AC42317AF0CEFE9AB29B56DD98CB115AA7A3BAEADB55B1DYD6EH" TargetMode="External"/><Relationship Id="rId33" Type="http://schemas.openxmlformats.org/officeDocument/2006/relationships/hyperlink" Target="consultantplus://offline/ref=B2A5522105556C413FC726690D2F86CB0220B8F334A55BE423E7B9205F13065B5AC42317AF0CEFE8A529B56DD98CB115AA7A3BAEADB55B1DYD6EH"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B2A5522105556C413FC726690D2F86CB0220B0FE31AC5BE423E7B9205F13065B48C47B1BAE08F1E8AB3CE33C9FYD6AH" TargetMode="External"/><Relationship Id="rId20" Type="http://schemas.openxmlformats.org/officeDocument/2006/relationships/hyperlink" Target="consultantplus://offline/ref=B2A5522105556C413FC726690D2F86CB0225BAF53AA45BE423E7B9205F13065B48C47B1BAE08F1E8AB3CE33C9FYD6AH" TargetMode="External"/><Relationship Id="rId29" Type="http://schemas.openxmlformats.org/officeDocument/2006/relationships/hyperlink" Target="consultantplus://offline/ref=B2A5522105556C413FC726690D2F86CB0223BEF436AA5BE423E7B9205F13065B5AC42317AF0CEFE8AA29B56DD98CB115AA7A3BAEADB55B1DYD6EH" TargetMode="External"/><Relationship Id="rId1" Type="http://schemas.openxmlformats.org/officeDocument/2006/relationships/styles" Target="styles.xml"/><Relationship Id="rId6" Type="http://schemas.openxmlformats.org/officeDocument/2006/relationships/hyperlink" Target="consultantplus://offline/ref=B2A5522105556C413FC726690D2F86CB0222BEF33AA95BE423E7B9205F13065B5AC42317AF0CEFE8AB29B56DD98CB115AA7A3BAEADB55B1DYD6EH" TargetMode="External"/><Relationship Id="rId11" Type="http://schemas.openxmlformats.org/officeDocument/2006/relationships/hyperlink" Target="consultantplus://offline/ref=B2A5522105556C413FC726690D2F86CB0225BFF133AA5BE423E7B9205F13065B5AC42317AF0CEFE8AB29B56DD98CB115AA7A3BAEADB55B1DYD6EH" TargetMode="External"/><Relationship Id="rId24" Type="http://schemas.openxmlformats.org/officeDocument/2006/relationships/hyperlink" Target="consultantplus://offline/ref=B2A5522105556C413FC726690D2F86CB0220B9F733AD5BE423E7B9205F13065B5AC42317AF0CEFE8AB29B56DD98CB115AA7A3BAEADB55B1DYD6EH" TargetMode="External"/><Relationship Id="rId32" Type="http://schemas.openxmlformats.org/officeDocument/2006/relationships/hyperlink" Target="consultantplus://offline/ref=B2A5522105556C413FC726690D2F86CB0220B8F334A55BE423E7B9205F13065B48C47B1BAE08F1E8AB3CE33C9FYD6AH" TargetMode="External"/><Relationship Id="rId37" Type="http://schemas.openxmlformats.org/officeDocument/2006/relationships/fontTable" Target="fontTable.xml"/><Relationship Id="rId5" Type="http://schemas.openxmlformats.org/officeDocument/2006/relationships/hyperlink" Target="consultantplus://offline/ref=B2A5522105556C413FC726690D2F86CB0222BAF73AA55BE423E7B9205F13065B5AC42317AF0CEFE8AA29B56DD98CB115AA7A3BAEADB55B1DYD6EH" TargetMode="External"/><Relationship Id="rId15" Type="http://schemas.openxmlformats.org/officeDocument/2006/relationships/hyperlink" Target="consultantplus://offline/ref=B2A5522105556C413FC726690D2F86CB0225B9F632AC5BE423E7B9205F13065B5AC42317AF0CEFEBAF29B56DD98CB115AA7A3BAEADB55B1DYD6EH" TargetMode="External"/><Relationship Id="rId23" Type="http://schemas.openxmlformats.org/officeDocument/2006/relationships/hyperlink" Target="consultantplus://offline/ref=B2A5522105556C413FC726690D2F86CB0225B9F632AC5BE423E7B9205F13065B5AC42317AF0CEFEBAF29B56DD98CB115AA7A3BAEADB55B1DYD6EH" TargetMode="External"/><Relationship Id="rId28" Type="http://schemas.openxmlformats.org/officeDocument/2006/relationships/hyperlink" Target="consultantplus://offline/ref=B2A5522105556C413FC726690D2F86CB0223BEF436AA5BE423E7B9205F13065B5AC42317AF0CEFE9AD29B56DD98CB115AA7A3BAEADB55B1DYD6EH" TargetMode="External"/><Relationship Id="rId36" Type="http://schemas.openxmlformats.org/officeDocument/2006/relationships/hyperlink" Target="consultantplus://offline/ref=B2A5522105556C413FC726690D2F86CB0222B8F431AA5BE423E7B9205F13065B5AC42317AF0CEFE8A529B56DD98CB115AA7A3BAEADB55B1DYD6EH" TargetMode="External"/><Relationship Id="rId10" Type="http://schemas.openxmlformats.org/officeDocument/2006/relationships/hyperlink" Target="consultantplus://offline/ref=B2A5522105556C413FC726690D2F86CB0220B1FF31AD5BE423E7B9205F13065B5AC42317AF0CEFE8AA29B56DD98CB115AA7A3BAEADB55B1DYD6EH" TargetMode="External"/><Relationship Id="rId19" Type="http://schemas.openxmlformats.org/officeDocument/2006/relationships/hyperlink" Target="consultantplus://offline/ref=B2A5522105556C413FC726690D2F86CB0529B1F234AA5BE423E7B9205F13065B5AC42317AF0CEFE9AF29B56DD98CB115AA7A3BAEADB55B1DYD6EH" TargetMode="External"/><Relationship Id="rId31" Type="http://schemas.openxmlformats.org/officeDocument/2006/relationships/hyperlink" Target="consultantplus://offline/ref=B2A5522105556C413FC726690D2F86CB0220BEF535AC5BE423E7B9205F13065B5AC42317AF0CEFE8AA29B56DD98CB115AA7A3BAEADB55B1DYD6E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2A5522105556C413FC726690D2F86CB0220BFFE32A55BE423E7B9205F13065B5AC42317AF0CEFE8AB29B56DD98CB115AA7A3BAEADB55B1DYD6EH" TargetMode="External"/><Relationship Id="rId14" Type="http://schemas.openxmlformats.org/officeDocument/2006/relationships/hyperlink" Target="consultantplus://offline/ref=B2A5522105556C413FC726690D2F86CB0223B1F632AA5BE423E7B9205F13065B5AC42317AF0CEFE8AB29B56DD98CB115AA7A3BAEADB55B1DYD6EH" TargetMode="External"/><Relationship Id="rId22" Type="http://schemas.openxmlformats.org/officeDocument/2006/relationships/hyperlink" Target="consultantplus://offline/ref=B2A5522105556C413FC726690D2F86CB0222BCF137AC5BE423E7B9205F13065B5AC42317AF0CEFE0AB29B56DD98CB115AA7A3BAEADB55B1DYD6EH" TargetMode="External"/><Relationship Id="rId27" Type="http://schemas.openxmlformats.org/officeDocument/2006/relationships/hyperlink" Target="consultantplus://offline/ref=B2A5522105556C413FC726690D2F86CB0225BFF133AA5BE423E7B9205F13065B5AC42317AF0CEFE9A829B56DD98CB115AA7A3BAEADB55B1DYD6EH" TargetMode="External"/><Relationship Id="rId30" Type="http://schemas.openxmlformats.org/officeDocument/2006/relationships/hyperlink" Target="consultantplus://offline/ref=B2A5522105556C413FC726690D2F86CB0223BEF436AA5BE423E7B9205F13065B5AC42317AF0CEFE8A529B56DD98CB115AA7A3BAEADB55B1DYD6EH" TargetMode="External"/><Relationship Id="rId35" Type="http://schemas.openxmlformats.org/officeDocument/2006/relationships/hyperlink" Target="consultantplus://offline/ref=B2A5522105556C413FC726690D2F86CB0220B8F334A55BE423E7B9205F13065B48C47B1BAE08F1E8AB3CE33C9FYD6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2361</Words>
  <Characters>13464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АО БАНК ПСКБ</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Дядькина Наталья Викторовна</dc:creator>
  <cp:keywords/>
  <dc:description/>
  <cp:lastModifiedBy>Дядькина Наталья Викторовна</cp:lastModifiedBy>
  <cp:revision>1</cp:revision>
  <dcterms:created xsi:type="dcterms:W3CDTF">2023-06-14T07:58:00Z</dcterms:created>
  <dcterms:modified xsi:type="dcterms:W3CDTF">2023-06-14T07:58:00Z</dcterms:modified>
</cp:coreProperties>
</file>